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6B" w:rsidRPr="00874D6B" w:rsidRDefault="00874D6B" w:rsidP="00874D6B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Приказ Министерства здравоохранения Российской Федерации (Минздрав России) от 11 апреля 2013 г. N 216н г. Москва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 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В соответствии с постановлением Правительства Российской Федерации от 14 февраля 2013 г. N 116 «О мерах по совершенствованию организации медицинской помощи детям-сиротам и детям, оставшимся без попечения родителей» (Собрание законодательства Российской Федерации, 2013, N 7, ст. 660) </w:t>
      </w:r>
      <w:r w:rsidRPr="00874D6B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Министр В. Скворцова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 </w:t>
      </w:r>
    </w:p>
    <w:p w:rsidR="00874D6B" w:rsidRPr="00874D6B" w:rsidRDefault="00874D6B" w:rsidP="00874D6B">
      <w:pPr>
        <w:spacing w:after="225" w:line="240" w:lineRule="auto"/>
        <w:jc w:val="right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Приложение</w:t>
      </w:r>
    </w:p>
    <w:p w:rsidR="00874D6B" w:rsidRPr="00874D6B" w:rsidRDefault="00874D6B" w:rsidP="00874D6B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—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— диспансеризация).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1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 и осуществляется в отношении детей-сирот и детей, оставшихся без попечения родителей, указанных в пункте 1 настоящего Порядка (далее — несовершеннолетние).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«педиатрии» или «общей врачебной практике (семейной медицине)», «неврологии», «офтальмологии», «травматологии и ортопедии», «детской хирургии», «психиатрии», «стоматологии детской» или «стоматологии»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 «детской урологии-андрологии» или «урологии»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 «детской эндокринологии» или «эндокринологии»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 «оториноларингологии»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3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 или «оториноларингологии (за исключением </w:t>
      </w:r>
      <w:proofErr w:type="spellStart"/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кохлеарной</w:t>
      </w:r>
      <w:proofErr w:type="spellEnd"/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 имплантации)», «акушерству и гинекологии»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3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 или «акушерству и гинекологии (за исключением использования вспомогательных репродуктивных технологий)», «лабораторной диагностике», «клинической лабораторной диагностике», «функциональной диагностике», «ультразвуковой диагностике» и «рентгенологии».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«педиатрии» или «общей врачебной практике (семейной медицине)»,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В случае если в медицинской организации, указанной в пункте 3 настоящего Порядка, отсутствует: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lastRenderedPageBreak/>
        <w:t>1) врач детский уролог-</w:t>
      </w:r>
      <w:proofErr w:type="spellStart"/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андролог</w:t>
      </w:r>
      <w:proofErr w:type="spellEnd"/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 то к проведению диспансеризации привлекается врач-уролог или врач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«урологии» или «детской хирургии» соответственно;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2) врач 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«стоматологии»;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3) врач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«эндокринологии»;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4) врач-психиатр детский (врач-психиатр подростковый), то к проведению диспансеризации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«психиатрии».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В отношении несовершеннолетних, достигших возраста 3 лет и подлежащих диспансеризации, профилактические медицинские осмотры в соответствии с приказом Министерства здравоохранения Российской Федерации от 21 декабря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(зарегистрирован Министерством юстиции Российской Федерации 2 апреля 2013 г., регистрационный N 27961) не проводятся.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6.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7. Диспансеризация проводится медицинскими организациями в объеме, предусмотренном перечнем осмотров и исследований при проведении </w:t>
      </w:r>
      <w:proofErr w:type="gramStart"/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диспансеризации</w:t>
      </w:r>
      <w:proofErr w:type="gramEnd"/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4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) (далее — Перечень исследований).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—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1) фамилия, имя, отчество, возраст (дата, месяц, год рождения);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3) перечень осмотров врачами-специалистами, лабораторных, инструментальных и иных исследований исходя из Перечня исследований;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4) планируемые дата и место проведения диспансеризации.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lastRenderedPageBreak/>
        <w:t>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— календарный план).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года,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20-го числа текущего месяца уточненный поименный список уполномоченному должностному лицу медицинской организации.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10. 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законного представителя.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12.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</w:t>
      </w:r>
      <w:proofErr w:type="spellStart"/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недиагностированного</w:t>
      </w:r>
      <w:proofErr w:type="spellEnd"/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5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 (I этап).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13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— не более 45 рабочих дней (I и II этапы).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1) данные анамнеза: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lastRenderedPageBreak/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— МКБ), медицинской организации и врача-специалиста, осуществляющего диспансерное наблюдение;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2) данные, полученные при проведении диспансеризации: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объективные данные и результаты осмотров врачами-специалистами;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результаты лабораторных, инструментальных и иных исследований;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3) оценка физического развития;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4) группа состояния здоровья несовершеннолетнего;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5) рекомендации: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17. На основании результатов диспансеризации врач, ответственный за проведение диспансеризации, определяет: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1) группу состояния здоровья несовершеннолетнего в соответствии с Правилами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них[6]);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6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6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19.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lastRenderedPageBreak/>
        <w:t>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7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20. Медицинская организация, указанная в пункте 3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21. Медицинская организация, указанная в пункте 3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«Карта диспансеризации несовершеннолетнего»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8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 (далее — карта осмотра) на каждого несовершеннолетнего, прошедшего диспансеризацию.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22.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— до 20 января года, следующего за отчетным.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«Сведения о диспансеризации несовершеннолетних»</w:t>
      </w:r>
      <w:r w:rsidRPr="00874D6B">
        <w:rPr>
          <w:rFonts w:ascii="inherit" w:eastAsia="Times New Roman" w:hAnsi="inherit" w:cs="Helvetica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8</w:t>
      </w: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] (далее — отчет).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24.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25. Орган исполнительной власти субъекта Российской Федерации в сфере охраны здоровья граждан: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1) обеспечивает ведение мониторинга проведения диспансеризации в электронном виде;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2) обобщает и анализирует результаты диспансеризации в субъекте Российской Федерации;</w:t>
      </w:r>
    </w:p>
    <w:p w:rsidR="00874D6B" w:rsidRPr="00874D6B" w:rsidRDefault="00874D6B" w:rsidP="00874D6B">
      <w:pPr>
        <w:spacing w:after="225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i/>
          <w:i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1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Часть 4 статьи 46 Федерального закона от 21 ноября 2011 г. N 323-ФЗ «Об основах охраны здоровья граждан в Российской Федерации» (далее — Федеральный закон).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i/>
          <w:i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При условии соблюдения требований, установленных пунктом 4 настоящего Порядка.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i/>
          <w:i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3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Сколково</w:t>
      </w:r>
      <w:proofErr w:type="spellEnd"/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»)» (Собрание законодательства Российской Федерации, 2012, N 17, ст. 1965; N 37, ст. 5002; 2013, N 3, ст. 207).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i/>
          <w:i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4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Справочно: утвержден приказом Министерства здравоохранения Российской Федерации от 15 февраля 2013 г. N 72н «О проведении </w:t>
      </w:r>
      <w:proofErr w:type="gramStart"/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диспансеризации</w:t>
      </w:r>
      <w:proofErr w:type="gramEnd"/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ситуации» (зарегистрирован Министерством юстиции Российской Федерации 2 апреля 2013 г., регистрационный N 27964).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i/>
          <w:i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5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В соответствии с пунктом 8 части 4 статьи 13 Федерального закона предоставление сведений, составляющих врачебную тайну, без согласия гражданина или его законного представителя допускается 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i/>
          <w:i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6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Справочно: утвержден приказом Министерства здравоохранения Российской Федерации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(зарегистрирован Министерством юстиции Российской Федерации 2 апреля 2013 г., регистрационный N 27961).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i/>
          <w:i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7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Справочно: зарегистрирован Министерством юстиции Российской Федерации 25 июля 2012 г., регистрационный N 25004.</w:t>
      </w:r>
    </w:p>
    <w:p w:rsidR="00874D6B" w:rsidRPr="00874D6B" w:rsidRDefault="00874D6B" w:rsidP="00874D6B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i/>
          <w:i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8</w:t>
      </w:r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Справочно: утверждена приказом Министерства здравоохранения Российской Федерации от 15 февраля 2013 г. N 72н «О проведении </w:t>
      </w:r>
      <w:proofErr w:type="gramStart"/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диспансеризации</w:t>
      </w:r>
      <w:proofErr w:type="gramEnd"/>
      <w:r w:rsidRPr="00874D6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ситуации» (зарегистрирован Министерством юстиции Российской Федерации 2 апреля 2013 г., регистрационный N 27964).</w:t>
      </w:r>
    </w:p>
    <w:p w:rsidR="00874D6B" w:rsidRPr="00874D6B" w:rsidRDefault="00874D6B" w:rsidP="00874D6B">
      <w:pPr>
        <w:spacing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 </w:t>
      </w:r>
      <w:hyperlink r:id="rId5" w:history="1">
        <w:r w:rsidRPr="00874D6B">
          <w:rPr>
            <w:rFonts w:ascii="inherit" w:eastAsia="Times New Roman" w:hAnsi="inherit" w:cs="Helvetica"/>
            <w:color w:val="888888"/>
            <w:sz w:val="20"/>
            <w:szCs w:val="20"/>
            <w:u w:val="single"/>
            <w:bdr w:val="none" w:sz="0" w:space="0" w:color="auto" w:frame="1"/>
            <w:lang w:eastAsia="ru-RU"/>
          </w:rPr>
          <w:t>Дети</w:t>
        </w:r>
      </w:hyperlink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 </w:t>
      </w:r>
      <w:hyperlink r:id="rId6" w:history="1">
        <w:r w:rsidRPr="00874D6B">
          <w:rPr>
            <w:rFonts w:ascii="inherit" w:eastAsia="Times New Roman" w:hAnsi="inherit" w:cs="Helvetica"/>
            <w:color w:val="888888"/>
            <w:sz w:val="20"/>
            <w:szCs w:val="20"/>
            <w:u w:val="single"/>
            <w:bdr w:val="none" w:sz="0" w:space="0" w:color="auto" w:frame="1"/>
            <w:lang w:eastAsia="ru-RU"/>
          </w:rPr>
          <w:t>Диспансеризация</w:t>
        </w:r>
      </w:hyperlink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 </w:t>
      </w:r>
      <w:hyperlink r:id="rId7" w:history="1">
        <w:r w:rsidRPr="00874D6B">
          <w:rPr>
            <w:rFonts w:ascii="inherit" w:eastAsia="Times New Roman" w:hAnsi="inherit" w:cs="Helvetica"/>
            <w:color w:val="888888"/>
            <w:sz w:val="20"/>
            <w:szCs w:val="20"/>
            <w:u w:val="single"/>
            <w:bdr w:val="none" w:sz="0" w:space="0" w:color="auto" w:frame="1"/>
            <w:lang w:eastAsia="ru-RU"/>
          </w:rPr>
          <w:t>Законодательство</w:t>
        </w:r>
      </w:hyperlink>
      <w:r w:rsidRPr="00874D6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, </w:t>
      </w:r>
      <w:hyperlink r:id="rId8" w:history="1">
        <w:r w:rsidRPr="00874D6B">
          <w:rPr>
            <w:rFonts w:ascii="inherit" w:eastAsia="Times New Roman" w:hAnsi="inherit" w:cs="Helvetica"/>
            <w:color w:val="888888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</w:t>
        </w:r>
      </w:hyperlink>
    </w:p>
    <w:p w:rsidR="00874D6B" w:rsidRPr="00874D6B" w:rsidRDefault="00874D6B" w:rsidP="00874D6B">
      <w:pPr>
        <w:numPr>
          <w:ilvl w:val="0"/>
          <w:numId w:val="1"/>
        </w:numPr>
        <w:spacing w:after="0" w:line="240" w:lineRule="auto"/>
        <w:ind w:left="249" w:right="249"/>
        <w:textAlignment w:val="baseline"/>
        <w:rPr>
          <w:rFonts w:ascii="inherit" w:eastAsia="Times New Roman" w:hAnsi="inherit" w:cs="Helvetica"/>
          <w:color w:val="1D1D1D"/>
          <w:sz w:val="20"/>
          <w:szCs w:val="20"/>
          <w:lang w:eastAsia="ru-RU"/>
        </w:rPr>
      </w:pPr>
      <w:hyperlink r:id="rId9" w:history="1">
        <w:r w:rsidRPr="00874D6B">
          <w:rPr>
            <w:rFonts w:ascii="inherit" w:eastAsia="Times New Roman" w:hAnsi="inherit" w:cs="Helvetica"/>
            <w:color w:val="777777"/>
            <w:sz w:val="20"/>
            <w:szCs w:val="20"/>
            <w:bdr w:val="none" w:sz="0" w:space="0" w:color="auto" w:frame="1"/>
            <w:shd w:val="clear" w:color="auto" w:fill="F9F9F9"/>
            <w:lang w:eastAsia="ru-RU"/>
          </w:rPr>
          <w:t>←</w:t>
        </w:r>
        <w:r w:rsidRPr="00874D6B">
          <w:rPr>
            <w:rFonts w:ascii="inherit" w:eastAsia="Times New Roman" w:hAnsi="inherit" w:cs="Helvetica"/>
            <w:color w:val="777777"/>
            <w:sz w:val="20"/>
            <w:szCs w:val="20"/>
            <w:bdr w:val="single" w:sz="6" w:space="6" w:color="EAEAEA" w:frame="1"/>
            <w:shd w:val="clear" w:color="auto" w:fill="F9F9F9"/>
            <w:lang w:eastAsia="ru-RU"/>
          </w:rPr>
          <w:t> </w:t>
        </w:r>
        <w:bookmarkStart w:id="0" w:name="_GoBack"/>
        <w:r w:rsidRPr="00874D6B">
          <w:rPr>
            <w:rFonts w:ascii="inherit" w:eastAsia="Times New Roman" w:hAnsi="inherit" w:cs="Helvetica"/>
            <w:color w:val="777777"/>
            <w:sz w:val="20"/>
            <w:szCs w:val="20"/>
            <w:u w:val="single"/>
            <w:bdr w:val="single" w:sz="6" w:space="6" w:color="EAEAEA" w:frame="1"/>
            <w:shd w:val="clear" w:color="auto" w:fill="F9F9F9"/>
            <w:lang w:eastAsia="ru-RU"/>
          </w:rPr>
          <w:t xml:space="preserve">Приказ Министерства здравоохранения РФ от 15.02.2013 № 72н “О проведении </w:t>
        </w:r>
        <w:proofErr w:type="gramStart"/>
        <w:r w:rsidRPr="00874D6B">
          <w:rPr>
            <w:rFonts w:ascii="inherit" w:eastAsia="Times New Roman" w:hAnsi="inherit" w:cs="Helvetica"/>
            <w:color w:val="777777"/>
            <w:sz w:val="20"/>
            <w:szCs w:val="20"/>
            <w:u w:val="single"/>
            <w:bdr w:val="single" w:sz="6" w:space="6" w:color="EAEAEA" w:frame="1"/>
            <w:shd w:val="clear" w:color="auto" w:fill="F9F9F9"/>
            <w:lang w:eastAsia="ru-RU"/>
          </w:rPr>
          <w:t>диспансеризации</w:t>
        </w:r>
        <w:proofErr w:type="gramEnd"/>
        <w:r w:rsidRPr="00874D6B">
          <w:rPr>
            <w:rFonts w:ascii="inherit" w:eastAsia="Times New Roman" w:hAnsi="inherit" w:cs="Helvetica"/>
            <w:color w:val="777777"/>
            <w:sz w:val="20"/>
            <w:szCs w:val="20"/>
            <w:u w:val="single"/>
            <w:bdr w:val="single" w:sz="6" w:space="6" w:color="EAEAEA" w:frame="1"/>
            <w:shd w:val="clear" w:color="auto" w:fill="F9F9F9"/>
            <w:lang w:eastAsia="ru-RU"/>
          </w:rPr>
          <w:t xml:space="preserve"> пребывающих в стационарных учреждениях детей-сирот и детей, находящихся в трудной жизненной ситуации”</w:t>
        </w:r>
        <w:bookmarkEnd w:id="0"/>
      </w:hyperlink>
    </w:p>
    <w:p w:rsidR="000942CE" w:rsidRDefault="000942CE"/>
    <w:sectPr w:rsidR="0009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750A"/>
    <w:multiLevelType w:val="multilevel"/>
    <w:tmpl w:val="AF0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66EB0"/>
    <w:multiLevelType w:val="multilevel"/>
    <w:tmpl w:val="54F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007F5"/>
    <w:multiLevelType w:val="multilevel"/>
    <w:tmpl w:val="DBF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B0D9C"/>
    <w:multiLevelType w:val="multilevel"/>
    <w:tmpl w:val="A5C4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87"/>
    <w:rsid w:val="000942CE"/>
    <w:rsid w:val="000F1C87"/>
    <w:rsid w:val="008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D41D-BF92-48A0-89C0-E7F5D93B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2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961199">
                  <w:marLeft w:val="4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3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gamb.ru/tag/%d0%bf%d1%80%d0%b8%d0%ba%d0%b0%d0%b7-%d0%bc%d0%b8%d0%bd%d0%b8%d1%81%d1%82%d0%b5%d1%80%d1%81%d1%82%d0%b2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gamb.ru/tag/%d0%b7%d0%b0%d0%ba%d0%be%d0%bd%d0%be%d0%b4%d0%b0%d1%82%d0%b5%d0%bb%d1%8c%d1%81%d1%82%d0%b2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amb.ru/tag/%d0%b4%d0%b8%d1%81%d0%bf%d0%b0%d0%bd%d1%81%d0%b5%d1%80%d0%b8%d0%b7%d0%b0%d1%86%d0%b8%d1%8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ugamb.ru/tag/%d0%b4%d0%b5%d1%82%d0%b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ugamb.ru/publications/legislation/minzdrav/prm-72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3308</Words>
  <Characters>18856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2017-04-12T13:16:00Z</dcterms:created>
  <dcterms:modified xsi:type="dcterms:W3CDTF">2017-04-12T13:18:00Z</dcterms:modified>
</cp:coreProperties>
</file>